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A5C0" w14:textId="77777777" w:rsidR="00272C96" w:rsidRPr="00C94B8D" w:rsidRDefault="006A5769" w:rsidP="00272C96">
      <w:pPr>
        <w:shd w:val="clear" w:color="auto" w:fill="FFFFFF"/>
        <w:spacing w:after="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</w:pPr>
      <w:r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>Liste der</w:t>
      </w:r>
      <w:r w:rsidR="00191027"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 xml:space="preserve"> Kontrollpunkte</w:t>
      </w:r>
      <w:r w:rsidR="00272C96"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 xml:space="preserve"> und der</w:t>
      </w:r>
      <w:r w:rsidR="00191027"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 xml:space="preserve"> </w:t>
      </w:r>
      <w:r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 xml:space="preserve">speziell ausgewiesenen Orte </w:t>
      </w:r>
    </w:p>
    <w:p w14:paraId="34B5119B" w14:textId="77777777" w:rsidR="00A72D4A" w:rsidRPr="00C94B8D" w:rsidRDefault="006A5769" w:rsidP="00272C96">
      <w:pPr>
        <w:shd w:val="clear" w:color="auto" w:fill="FFFFFF"/>
        <w:spacing w:after="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</w:pPr>
      <w:r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 xml:space="preserve">für Frachtbetrieb und </w:t>
      </w:r>
      <w:r w:rsidR="00A72D4A"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 xml:space="preserve">Umladung </w:t>
      </w:r>
    </w:p>
    <w:p w14:paraId="619FDF06" w14:textId="77777777" w:rsidR="009403D2" w:rsidRPr="00C94B8D" w:rsidRDefault="00A72D4A" w:rsidP="00272C96">
      <w:pPr>
        <w:shd w:val="clear" w:color="auto" w:fill="FFFFFF"/>
        <w:spacing w:after="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</w:pPr>
      <w:r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>im Zusammenhang mit der Einführung de</w:t>
      </w:r>
      <w:r w:rsidR="009403D2"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 xml:space="preserve">s Einreiseverbots nach Belarus </w:t>
      </w:r>
    </w:p>
    <w:p w14:paraId="79871078" w14:textId="77777777" w:rsidR="009403D2" w:rsidRPr="00C94B8D" w:rsidRDefault="009403D2" w:rsidP="00272C96">
      <w:pPr>
        <w:shd w:val="clear" w:color="auto" w:fill="FFFFFF"/>
        <w:spacing w:after="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</w:pPr>
      <w:r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>für die in der EU zugelassenen Kraftfahrzeuge der internationalen Güterbeförderung</w:t>
      </w:r>
    </w:p>
    <w:p w14:paraId="7957371B" w14:textId="23406C4A" w:rsidR="009403D2" w:rsidRPr="00C94B8D" w:rsidRDefault="009403D2" w:rsidP="00272C96">
      <w:pPr>
        <w:shd w:val="clear" w:color="auto" w:fill="FFFFFF"/>
        <w:spacing w:after="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</w:pPr>
      <w:r w:rsidRPr="00C94B8D">
        <w:rPr>
          <w:rFonts w:ascii="Arial" w:eastAsia="Times New Roman" w:hAnsi="Arial" w:cs="Arial"/>
          <w:b/>
          <w:i/>
          <w:iCs/>
          <w:color w:val="1B1B1B"/>
          <w:spacing w:val="1"/>
          <w:sz w:val="24"/>
          <w:szCs w:val="24"/>
          <w:lang w:val="de-DE" w:eastAsia="ru-RU"/>
        </w:rPr>
        <w:t>ab dem 16. April 2022</w:t>
      </w:r>
    </w:p>
    <w:p w14:paraId="239E0B67" w14:textId="77777777" w:rsidR="00272C96" w:rsidRPr="00C94B8D" w:rsidRDefault="00272C96" w:rsidP="00272C96">
      <w:pPr>
        <w:shd w:val="clear" w:color="auto" w:fill="FFFFFF"/>
        <w:spacing w:after="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color w:val="1B1B1B"/>
          <w:spacing w:val="1"/>
          <w:sz w:val="24"/>
          <w:szCs w:val="24"/>
          <w:lang w:val="de-DE" w:eastAsia="ru-RU"/>
        </w:rPr>
      </w:pPr>
    </w:p>
    <w:tbl>
      <w:tblPr>
        <w:tblW w:w="10765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7281"/>
        <w:gridCol w:w="2997"/>
      </w:tblGrid>
      <w:tr w:rsidR="006A5769" w:rsidRPr="00C94B8D" w14:paraId="39C3D6C6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B6EB2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pacing w:val="1"/>
                <w:sz w:val="24"/>
                <w:szCs w:val="24"/>
                <w:lang w:val="en-US" w:eastAsia="ru-RU"/>
              </w:rPr>
            </w:pPr>
            <w:r w:rsidRPr="00C94B8D">
              <w:rPr>
                <w:rFonts w:ascii="Arial" w:eastAsia="Times New Roman" w:hAnsi="Arial" w:cs="Arial"/>
                <w:b/>
                <w:bCs/>
                <w:color w:val="1B1B1B"/>
                <w:spacing w:val="1"/>
                <w:sz w:val="24"/>
                <w:szCs w:val="24"/>
                <w:lang w:val="en-US" w:eastAsia="ru-RU"/>
              </w:rPr>
              <w:t>Nr.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283A0" w14:textId="77777777" w:rsidR="006A5769" w:rsidRPr="00C94B8D" w:rsidRDefault="00191027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pacing w:val="1"/>
                <w:sz w:val="24"/>
                <w:szCs w:val="24"/>
                <w:lang w:val="en-US" w:eastAsia="ru-RU"/>
              </w:rPr>
            </w:pPr>
            <w:r w:rsidRPr="00C94B8D">
              <w:rPr>
                <w:rFonts w:ascii="Arial" w:eastAsia="Times New Roman" w:hAnsi="Arial" w:cs="Arial"/>
                <w:b/>
                <w:bCs/>
                <w:color w:val="1B1B1B"/>
                <w:spacing w:val="1"/>
                <w:sz w:val="24"/>
                <w:szCs w:val="24"/>
                <w:lang w:val="en-US" w:eastAsia="ru-RU"/>
              </w:rPr>
              <w:t xml:space="preserve">     </w:t>
            </w:r>
            <w:r w:rsidR="006A5769" w:rsidRPr="00C94B8D">
              <w:rPr>
                <w:rFonts w:ascii="Arial" w:eastAsia="Times New Roman" w:hAnsi="Arial" w:cs="Arial"/>
                <w:b/>
                <w:bCs/>
                <w:color w:val="1B1B1B"/>
                <w:spacing w:val="1"/>
                <w:sz w:val="24"/>
                <w:szCs w:val="24"/>
                <w:lang w:val="en-US" w:eastAsia="ru-RU"/>
              </w:rPr>
              <w:t>Ort</w:t>
            </w:r>
          </w:p>
        </w:tc>
        <w:tc>
          <w:tcPr>
            <w:tcW w:w="2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04640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b/>
                <w:bCs/>
                <w:color w:val="1B1B1B"/>
                <w:spacing w:val="1"/>
                <w:sz w:val="24"/>
                <w:szCs w:val="24"/>
                <w:lang w:eastAsia="ru-RU"/>
              </w:rPr>
              <w:t>Name des Kontrollpunkts</w:t>
            </w:r>
          </w:p>
        </w:tc>
      </w:tr>
      <w:tr w:rsidR="006A5769" w:rsidRPr="00C94B8D" w14:paraId="4EA24F84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33562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3C711" w14:textId="77777777" w:rsidR="006A5769" w:rsidRPr="00C94B8D" w:rsidRDefault="006A5769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Zollabfertigungsstelle Brest</w:t>
            </w:r>
            <w:r w:rsidR="00191027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-</w:t>
            </w:r>
            <w:r w:rsidR="00191027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Beltamozhservice</w:t>
            </w:r>
          </w:p>
        </w:tc>
        <w:tc>
          <w:tcPr>
            <w:tcW w:w="299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8C88C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Kozlovichi</w:t>
            </w:r>
            <w:proofErr w:type="spellEnd"/>
          </w:p>
        </w:tc>
      </w:tr>
      <w:tr w:rsidR="006A5769" w:rsidRPr="00C94B8D" w14:paraId="0C9DD2C4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15EAF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A4759" w14:textId="77777777" w:rsidR="006A5769" w:rsidRPr="00C94B8D" w:rsidRDefault="006A5769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Zollabfertigungsstelle Brest</w:t>
            </w:r>
            <w:r w:rsidR="00191027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-</w:t>
            </w:r>
            <w:r w:rsidR="00191027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Beltamozhservice -</w:t>
            </w:r>
            <w:r w:rsidR="00191027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29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B001120" w14:textId="77777777" w:rsidR="006A5769" w:rsidRPr="00C94B8D" w:rsidRDefault="006A5769" w:rsidP="00272C96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</w:p>
        </w:tc>
      </w:tr>
      <w:tr w:rsidR="006A5769" w:rsidRPr="00C94B8D" w14:paraId="39BE6054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B7063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34EDE" w14:textId="77777777" w:rsidR="006A5769" w:rsidRPr="00C94B8D" w:rsidRDefault="006A5769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Zollabfertigungsstelle Berestovitsa</w:t>
            </w:r>
            <w:r w:rsidR="00191027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-</w:t>
            </w:r>
            <w:r w:rsidR="00191027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TLC</w:t>
            </w:r>
          </w:p>
        </w:tc>
        <w:tc>
          <w:tcPr>
            <w:tcW w:w="299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590BB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Berestovitsa</w:t>
            </w:r>
            <w:proofErr w:type="spellEnd"/>
          </w:p>
        </w:tc>
      </w:tr>
      <w:tr w:rsidR="006A5769" w:rsidRPr="00C94B8D" w14:paraId="7FFF70A8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23CDF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6265B" w14:textId="77777777" w:rsidR="006A5769" w:rsidRPr="00C94B8D" w:rsidRDefault="00767C50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Wartezone des elektronischen Wartesystems für Fahrzeuge zur Einfahrt in den Kontrollpunkt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Berestovitsa</w:t>
            </w:r>
            <w:proofErr w:type="spellEnd"/>
          </w:p>
        </w:tc>
        <w:tc>
          <w:tcPr>
            <w:tcW w:w="29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DA47BF" w14:textId="77777777" w:rsidR="006A5769" w:rsidRPr="00C94B8D" w:rsidRDefault="006A5769" w:rsidP="00272C96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</w:p>
        </w:tc>
      </w:tr>
      <w:tr w:rsidR="006A5769" w:rsidRPr="00C94B8D" w14:paraId="3147A3C1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1CA0E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139A7" w14:textId="77777777" w:rsidR="006A5769" w:rsidRPr="00C94B8D" w:rsidRDefault="006A5769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Zollabfertigungsstelle Bruzgi</w:t>
            </w:r>
            <w:r w:rsidR="00650B36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-</w:t>
            </w:r>
            <w:r w:rsidR="00650B36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TLC</w:t>
            </w:r>
          </w:p>
        </w:tc>
        <w:tc>
          <w:tcPr>
            <w:tcW w:w="2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D88D8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Bruzgi</w:t>
            </w:r>
            <w:proofErr w:type="spellEnd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Privalka</w:t>
            </w:r>
            <w:proofErr w:type="spellEnd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Berestovitsa</w:t>
            </w:r>
            <w:proofErr w:type="spellEnd"/>
          </w:p>
        </w:tc>
      </w:tr>
      <w:tr w:rsidR="006A5769" w:rsidRPr="00C94B8D" w14:paraId="7794AB2A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2026D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3C4DF" w14:textId="77777777" w:rsidR="006A5769" w:rsidRPr="00C94B8D" w:rsidRDefault="006A5769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Wartezone des elektronischen Wartesystems für Fahrzeuge zur Einfahrt in den Kontrollpunkt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Bruzgi</w:t>
            </w:r>
            <w:proofErr w:type="spellEnd"/>
          </w:p>
        </w:tc>
        <w:tc>
          <w:tcPr>
            <w:tcW w:w="2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47E79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Bruzgi</w:t>
            </w:r>
            <w:proofErr w:type="spellEnd"/>
          </w:p>
        </w:tc>
      </w:tr>
      <w:tr w:rsidR="006A5769" w:rsidRPr="00C94B8D" w14:paraId="088188D0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767D7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76712" w14:textId="77777777" w:rsidR="006A5769" w:rsidRPr="00C94B8D" w:rsidRDefault="006A5769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Zollabfertigungsstelle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 xml:space="preserve">Grodno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-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GAP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-2</w:t>
            </w:r>
          </w:p>
        </w:tc>
        <w:tc>
          <w:tcPr>
            <w:tcW w:w="2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C759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Privalka</w:t>
            </w:r>
            <w:proofErr w:type="spellEnd"/>
          </w:p>
        </w:tc>
      </w:tr>
      <w:tr w:rsidR="006A5769" w:rsidRPr="00C94B8D" w14:paraId="7C748EA5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A411E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10686" w14:textId="77777777" w:rsidR="006A5769" w:rsidRPr="00C94B8D" w:rsidRDefault="006A5769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Zollabfertigungsstelle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Bruzgi</w:t>
            </w:r>
            <w:proofErr w:type="spellEnd"/>
            <w:r w:rsidR="00650B36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-</w:t>
            </w:r>
            <w:r w:rsidR="00650B36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TLC Lida - Auto</w:t>
            </w:r>
          </w:p>
        </w:tc>
        <w:tc>
          <w:tcPr>
            <w:tcW w:w="299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40871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Benyzkoni</w:t>
            </w:r>
            <w:proofErr w:type="spellEnd"/>
          </w:p>
        </w:tc>
      </w:tr>
      <w:tr w:rsidR="006A5769" w:rsidRPr="00C94B8D" w14:paraId="366A6719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1479B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4BBEE" w14:textId="77777777" w:rsidR="006A5769" w:rsidRPr="00C94B8D" w:rsidRDefault="00767C50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Wartezone des elektronischen Wartesystems für Fahrzeuge zur Einfahrt in den Kontrollpunkt </w:t>
            </w:r>
            <w:proofErr w:type="spellStart"/>
            <w:r w:rsidR="006A5769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Benyakoni</w:t>
            </w:r>
            <w:proofErr w:type="spellEnd"/>
          </w:p>
        </w:tc>
        <w:tc>
          <w:tcPr>
            <w:tcW w:w="29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75A8343" w14:textId="77777777" w:rsidR="006A5769" w:rsidRPr="00C94B8D" w:rsidRDefault="006A5769" w:rsidP="00272C96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</w:p>
        </w:tc>
      </w:tr>
      <w:tr w:rsidR="006A5769" w:rsidRPr="00C94B8D" w14:paraId="4130EA5D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2080B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B5F4C" w14:textId="77777777" w:rsidR="006A5769" w:rsidRPr="00C94B8D" w:rsidRDefault="006A5769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Zollabfertigungsstelle Kamenny Log</w:t>
            </w:r>
            <w:r w:rsidR="00650B36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-</w:t>
            </w:r>
            <w:r w:rsidR="00650B36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 xml:space="preserve"> 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Beltamozhservice</w:t>
            </w:r>
          </w:p>
        </w:tc>
        <w:tc>
          <w:tcPr>
            <w:tcW w:w="2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39D28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Kamenny</w:t>
            </w:r>
            <w:proofErr w:type="spellEnd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 xml:space="preserve"> Log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, Ko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tlowka</w:t>
            </w:r>
            <w:proofErr w:type="spellEnd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Vidzi</w:t>
            </w:r>
            <w:proofErr w:type="spellEnd"/>
          </w:p>
        </w:tc>
      </w:tr>
      <w:tr w:rsidR="006A5769" w:rsidRPr="00C94B8D" w14:paraId="62AE7A89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BBBAB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B4658" w14:textId="77777777" w:rsidR="006A5769" w:rsidRPr="00C94B8D" w:rsidRDefault="00767C50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Wartezone des elektronischen Wartesystems für Fahrzeuge zur Einfahrt in den Kontrollpunkt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Kotlowka</w:t>
            </w:r>
            <w:proofErr w:type="spellEnd"/>
          </w:p>
        </w:tc>
        <w:tc>
          <w:tcPr>
            <w:tcW w:w="2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672CA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Kotlowka</w:t>
            </w:r>
            <w:proofErr w:type="spellEnd"/>
          </w:p>
        </w:tc>
      </w:tr>
      <w:tr w:rsidR="006A5769" w:rsidRPr="00C94B8D" w14:paraId="728360E8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FBABA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B4D0F" w14:textId="77777777" w:rsidR="006A5769" w:rsidRPr="00C94B8D" w:rsidRDefault="00767C50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Wartezone des elektronischen Wartesystems für Fahrzeuge zur Einfahrt in den Kontrollpunkt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Grigorow</w:t>
            </w:r>
            <w:r w:rsidR="00370120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s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china</w:t>
            </w:r>
            <w:proofErr w:type="spellEnd"/>
          </w:p>
        </w:tc>
        <w:tc>
          <w:tcPr>
            <w:tcW w:w="2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809F8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Grigoro</w:t>
            </w:r>
            <w:r w:rsidR="00370120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ws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china</w:t>
            </w:r>
            <w:proofErr w:type="spellEnd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 </w:t>
            </w:r>
          </w:p>
        </w:tc>
      </w:tr>
      <w:tr w:rsidR="006A5769" w:rsidRPr="00C94B8D" w14:paraId="12D50CAF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9A11D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6A0B1" w14:textId="77777777" w:rsidR="006A5769" w:rsidRPr="00C94B8D" w:rsidRDefault="00767C50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 xml:space="preserve">Wartezone des elektronischen Wartesystems für Fahrzeuge zur Einfahrt in den Kontrollpunkt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de-DE" w:eastAsia="ru-RU"/>
              </w:rPr>
              <w:t>Urbany</w:t>
            </w:r>
            <w:proofErr w:type="spellEnd"/>
          </w:p>
        </w:tc>
        <w:tc>
          <w:tcPr>
            <w:tcW w:w="2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F60E6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Urbany</w:t>
            </w:r>
            <w:proofErr w:type="spellEnd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Vidzi</w:t>
            </w:r>
            <w:proofErr w:type="spellEnd"/>
          </w:p>
        </w:tc>
      </w:tr>
      <w:tr w:rsidR="006A5769" w:rsidRPr="00C94B8D" w14:paraId="6E850A58" w14:textId="77777777" w:rsidTr="00272C9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40BC" w14:textId="77777777" w:rsidR="006A5769" w:rsidRPr="00C94B8D" w:rsidRDefault="006A5769" w:rsidP="00272C96">
            <w:pPr>
              <w:spacing w:after="0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437C0" w14:textId="77777777" w:rsidR="006A5769" w:rsidRPr="00C94B8D" w:rsidRDefault="006A5769" w:rsidP="00272C96">
            <w:pPr>
              <w:spacing w:after="0" w:line="276" w:lineRule="auto"/>
              <w:contextualSpacing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</w:pP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>Zollabfertigungsstelle Polotsk-Steklovolokno</w:t>
            </w:r>
          </w:p>
        </w:tc>
        <w:tc>
          <w:tcPr>
            <w:tcW w:w="2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B9737" w14:textId="77777777" w:rsidR="006A5769" w:rsidRPr="00C94B8D" w:rsidRDefault="006A5769" w:rsidP="00272C96">
            <w:pPr>
              <w:spacing w:after="0"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Grigorow</w:t>
            </w:r>
            <w:r w:rsidR="00DA4DE9"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s</w:t>
            </w:r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china</w:t>
            </w:r>
            <w:proofErr w:type="spellEnd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Urbany</w:t>
            </w:r>
            <w:proofErr w:type="spellEnd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B8D">
              <w:rPr>
                <w:rFonts w:ascii="Arial" w:eastAsia="Times New Roman" w:hAnsi="Arial" w:cs="Arial"/>
                <w:color w:val="1B1B1B"/>
                <w:spacing w:val="1"/>
                <w:sz w:val="24"/>
                <w:szCs w:val="24"/>
                <w:lang w:val="en-US" w:eastAsia="ru-RU"/>
              </w:rPr>
              <w:t>Vidzi</w:t>
            </w:r>
            <w:proofErr w:type="spellEnd"/>
          </w:p>
        </w:tc>
      </w:tr>
    </w:tbl>
    <w:p w14:paraId="538135FB" w14:textId="1F00BE9E" w:rsidR="0049284D" w:rsidRPr="00C94B8D" w:rsidRDefault="0049284D" w:rsidP="00272C96">
      <w:pPr>
        <w:spacing w:after="0" w:line="276" w:lineRule="auto"/>
        <w:contextualSpacing/>
        <w:rPr>
          <w:rFonts w:ascii="Arial" w:hAnsi="Arial" w:cs="Arial"/>
          <w:lang w:val="en-US"/>
        </w:rPr>
      </w:pPr>
    </w:p>
    <w:p w14:paraId="10DCDDD8" w14:textId="77777777" w:rsidR="00A72D4A" w:rsidRPr="00C94B8D" w:rsidRDefault="0049284D" w:rsidP="00272C96">
      <w:pPr>
        <w:spacing w:after="0" w:line="276" w:lineRule="auto"/>
        <w:contextualSpacing/>
        <w:rPr>
          <w:rFonts w:ascii="Arial" w:hAnsi="Arial" w:cs="Arial"/>
          <w:i/>
          <w:iCs/>
          <w:lang w:val="de-DE"/>
        </w:rPr>
      </w:pPr>
      <w:r w:rsidRPr="00C94B8D">
        <w:rPr>
          <w:rFonts w:ascii="Arial" w:hAnsi="Arial" w:cs="Arial"/>
          <w:i/>
          <w:iCs/>
          <w:lang w:val="de-DE"/>
        </w:rPr>
        <w:t>Quellen: </w:t>
      </w:r>
    </w:p>
    <w:p w14:paraId="23330DD1" w14:textId="566A8CD0" w:rsidR="00A72D4A" w:rsidRPr="00C94B8D" w:rsidRDefault="00A72D4A" w:rsidP="00272C96">
      <w:pPr>
        <w:spacing w:after="0" w:line="276" w:lineRule="auto"/>
        <w:contextualSpacing/>
        <w:rPr>
          <w:rFonts w:ascii="Arial" w:hAnsi="Arial" w:cs="Arial"/>
          <w:i/>
          <w:iCs/>
          <w:lang w:val="de-DE"/>
        </w:rPr>
      </w:pPr>
      <w:r w:rsidRPr="00C94B8D">
        <w:rPr>
          <w:rFonts w:ascii="Arial" w:hAnsi="Arial" w:cs="Arial"/>
          <w:i/>
          <w:iCs/>
          <w:lang w:val="de-DE"/>
        </w:rPr>
        <w:t xml:space="preserve">Transportministerium der Republik Belarus - </w:t>
      </w:r>
      <w:hyperlink r:id="rId4" w:history="1">
        <w:r w:rsidRPr="00C94B8D">
          <w:rPr>
            <w:rStyle w:val="Hyperlink"/>
            <w:rFonts w:ascii="Arial" w:hAnsi="Arial" w:cs="Arial"/>
            <w:i/>
            <w:iCs/>
            <w:lang w:val="de-DE"/>
          </w:rPr>
          <w:t>https://www.mintrans.gov.by/ru/news-ru/view/o-prinjatii-otvetnyx-mer-v-otnoshenii-transportnyx-sredstv-zaregistrirovannyx-v-gosudarstvax-chlenax-es-4294-2022</w:t>
        </w:r>
      </w:hyperlink>
      <w:r w:rsidRPr="00C94B8D">
        <w:rPr>
          <w:rFonts w:ascii="Arial" w:hAnsi="Arial" w:cs="Arial"/>
          <w:i/>
          <w:iCs/>
          <w:lang w:val="de-DE"/>
        </w:rPr>
        <w:t xml:space="preserve"> </w:t>
      </w:r>
    </w:p>
    <w:p w14:paraId="0B0775C4" w14:textId="77777777" w:rsidR="00A72D4A" w:rsidRPr="00C94B8D" w:rsidRDefault="00A72D4A" w:rsidP="00272C96">
      <w:pPr>
        <w:spacing w:after="0" w:line="276" w:lineRule="auto"/>
        <w:contextualSpacing/>
        <w:rPr>
          <w:rFonts w:ascii="Arial" w:hAnsi="Arial" w:cs="Arial"/>
          <w:i/>
          <w:iCs/>
          <w:lang w:val="de-DE"/>
        </w:rPr>
      </w:pPr>
    </w:p>
    <w:p w14:paraId="7A9D8478" w14:textId="25744882" w:rsidR="0049284D" w:rsidRPr="00C94B8D" w:rsidRDefault="0049284D" w:rsidP="00272C96">
      <w:pPr>
        <w:spacing w:after="0" w:line="276" w:lineRule="auto"/>
        <w:contextualSpacing/>
        <w:rPr>
          <w:rFonts w:ascii="Arial" w:hAnsi="Arial" w:cs="Arial"/>
          <w:i/>
          <w:iCs/>
          <w:lang w:val="de-DE"/>
        </w:rPr>
      </w:pPr>
      <w:r w:rsidRPr="00C94B8D">
        <w:rPr>
          <w:rFonts w:ascii="Arial" w:hAnsi="Arial" w:cs="Arial"/>
          <w:i/>
          <w:iCs/>
          <w:lang w:val="de-DE"/>
        </w:rPr>
        <w:t>Zollkomitee</w:t>
      </w:r>
      <w:r w:rsidR="00A72D4A" w:rsidRPr="00C94B8D">
        <w:rPr>
          <w:rFonts w:ascii="Arial" w:hAnsi="Arial" w:cs="Arial"/>
          <w:i/>
          <w:iCs/>
          <w:lang w:val="de-DE"/>
        </w:rPr>
        <w:t xml:space="preserve"> der Republik Belarus - </w:t>
      </w:r>
      <w:hyperlink r:id="rId5" w:history="1">
        <w:r w:rsidR="00A72D4A" w:rsidRPr="00C94B8D">
          <w:rPr>
            <w:rStyle w:val="Hyperlink"/>
            <w:rFonts w:ascii="Arial" w:hAnsi="Arial" w:cs="Arial"/>
            <w:i/>
            <w:iCs/>
            <w:lang w:val="de-DE"/>
          </w:rPr>
          <w:t>https://www.customs.gov.by/news/vnimaniyu-perevozchikov-zaregistrirovannykh-v-evropeyskom-soyuze-3/</w:t>
        </w:r>
      </w:hyperlink>
      <w:r w:rsidR="00A72D4A" w:rsidRPr="00C94B8D">
        <w:rPr>
          <w:rFonts w:ascii="Arial" w:hAnsi="Arial" w:cs="Arial"/>
          <w:i/>
          <w:iCs/>
          <w:lang w:val="de-DE"/>
        </w:rPr>
        <w:t xml:space="preserve"> </w:t>
      </w:r>
    </w:p>
    <w:sectPr w:rsidR="0049284D" w:rsidRPr="00C94B8D" w:rsidSect="0027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34"/>
    <w:rsid w:val="00191027"/>
    <w:rsid w:val="00272C96"/>
    <w:rsid w:val="00343317"/>
    <w:rsid w:val="00370120"/>
    <w:rsid w:val="0049284D"/>
    <w:rsid w:val="005F5248"/>
    <w:rsid w:val="00650B36"/>
    <w:rsid w:val="006A5769"/>
    <w:rsid w:val="00767C50"/>
    <w:rsid w:val="009403D2"/>
    <w:rsid w:val="00A72D4A"/>
    <w:rsid w:val="00AC4634"/>
    <w:rsid w:val="00AE173F"/>
    <w:rsid w:val="00C94B8D"/>
    <w:rsid w:val="00D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695F"/>
  <w15:chartTrackingRefBased/>
  <w15:docId w15:val="{DCDDA956-D69A-4C82-A3E1-38BBE3DE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28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stoms.gov.by/news/vnimaniyu-perevozchikov-zaregistrirovannykh-v-evropeyskom-soyuze-3/" TargetMode="External"/><Relationship Id="rId4" Type="http://schemas.openxmlformats.org/officeDocument/2006/relationships/hyperlink" Target="https://www.mintrans.gov.by/ru/news-ru/view/o-prinjatii-otvetnyx-mer-v-otnoshenii-transportnyx-sredstv-zaregistrirovannyx-v-gosudarstvax-chlenax-es-4294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Engels-Fasel Silvia</cp:lastModifiedBy>
  <cp:revision>2</cp:revision>
  <cp:lastPrinted>2022-04-19T14:44:00Z</cp:lastPrinted>
  <dcterms:created xsi:type="dcterms:W3CDTF">2022-04-26T11:40:00Z</dcterms:created>
  <dcterms:modified xsi:type="dcterms:W3CDTF">2022-04-26T11:40:00Z</dcterms:modified>
</cp:coreProperties>
</file>